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601"/>
      </w:tblGrid>
      <w:tr w:rsidR="00A83F4F" w:rsidTr="00A559E2">
        <w:trPr>
          <w:trHeight w:val="207"/>
        </w:trPr>
        <w:tc>
          <w:tcPr>
            <w:tcW w:w="9601" w:type="dxa"/>
            <w:tcBorders>
              <w:top w:val="nil"/>
              <w:left w:val="nil"/>
              <w:bottom w:val="nil"/>
              <w:right w:val="nil"/>
            </w:tcBorders>
            <w:vAlign w:val="center"/>
            <w:hideMark/>
          </w:tcPr>
          <w:p w:rsidR="00A83F4F" w:rsidRDefault="00A83F4F" w:rsidP="00A559E2">
            <w:pPr>
              <w:pStyle w:val="Heading4"/>
              <w:jc w:val="center"/>
              <w:rPr>
                <w:rFonts w:ascii="Helvetica" w:eastAsia="Times New Roman" w:hAnsi="Helvetica" w:cs="Helvetica"/>
              </w:rPr>
            </w:pPr>
            <w:r>
              <w:rPr>
                <w:rFonts w:ascii="Helvetica" w:eastAsia="Times New Roman" w:hAnsi="Helvetica" w:cs="Helvetica"/>
              </w:rPr>
              <w:t xml:space="preserve">Elgin Community College </w:t>
            </w:r>
          </w:p>
        </w:tc>
      </w:tr>
      <w:tr w:rsidR="00A83F4F" w:rsidTr="00A559E2">
        <w:trPr>
          <w:trHeight w:val="241"/>
        </w:trPr>
        <w:tc>
          <w:tcPr>
            <w:tcW w:w="9601" w:type="dxa"/>
            <w:tcBorders>
              <w:top w:val="nil"/>
              <w:left w:val="nil"/>
              <w:bottom w:val="nil"/>
              <w:right w:val="nil"/>
            </w:tcBorders>
            <w:vAlign w:val="center"/>
            <w:hideMark/>
          </w:tcPr>
          <w:p w:rsidR="00A83F4F" w:rsidRDefault="00A83F4F" w:rsidP="007A4B02">
            <w:pPr>
              <w:pStyle w:val="Heading3"/>
              <w:jc w:val="center"/>
              <w:rPr>
                <w:rFonts w:ascii="Helvetica" w:eastAsia="Times New Roman" w:hAnsi="Helvetica" w:cs="Helvetica"/>
              </w:rPr>
            </w:pPr>
            <w:r>
              <w:rPr>
                <w:rFonts w:ascii="Helvetica" w:eastAsia="Times New Roman" w:hAnsi="Helvetica" w:cs="Helvetica"/>
              </w:rPr>
              <w:t xml:space="preserve">Course Outline </w:t>
            </w:r>
          </w:p>
        </w:tc>
      </w:tr>
      <w:tr w:rsidR="00A83F4F" w:rsidTr="00A559E2">
        <w:trPr>
          <w:trHeight w:val="9318"/>
        </w:trPr>
        <w:tc>
          <w:tcPr>
            <w:tcW w:w="9601" w:type="dxa"/>
            <w:tcBorders>
              <w:top w:val="nil"/>
              <w:left w:val="nil"/>
              <w:bottom w:val="nil"/>
              <w:right w:val="nil"/>
            </w:tcBorders>
            <w:vAlign w:val="center"/>
            <w:hideMark/>
          </w:tcPr>
          <w:p w:rsidR="00E638DA" w:rsidRDefault="00A83F4F" w:rsidP="00E638DA">
            <w:pPr>
              <w:pStyle w:val="BodyText"/>
              <w:ind w:left="0"/>
              <w:rPr>
                <w:b/>
              </w:rPr>
            </w:pPr>
            <w:r w:rsidRPr="00A83F4F">
              <w:rPr>
                <w:rFonts w:ascii="Helvetica" w:eastAsia="Times New Roman" w:hAnsi="Helvetica" w:cs="Helvetica"/>
                <w:b/>
                <w:bCs/>
              </w:rPr>
              <w:t>Welding 101</w:t>
            </w:r>
            <w:r>
              <w:rPr>
                <w:rFonts w:ascii="Helvetica" w:eastAsia="Times New Roman" w:hAnsi="Helvetica" w:cs="Helvetica"/>
                <w:b/>
                <w:bCs/>
              </w:rPr>
              <w:t xml:space="preserve"> </w:t>
            </w:r>
            <w:r>
              <w:rPr>
                <w:rFonts w:ascii="Helvetica" w:eastAsia="Times New Roman" w:hAnsi="Helvetica" w:cs="Helvetica"/>
                <w:b/>
                <w:bCs/>
              </w:rPr>
              <w:br/>
            </w:r>
          </w:p>
          <w:p w:rsidR="00E638DA" w:rsidRPr="00E638DA" w:rsidRDefault="00E638DA" w:rsidP="00E638DA">
            <w:pPr>
              <w:pStyle w:val="BodyText"/>
              <w:ind w:left="0"/>
              <w:rPr>
                <w:rFonts w:ascii="Times New Roman" w:hAnsi="Times New Roman" w:cs="Times New Roman"/>
                <w:b/>
              </w:rPr>
            </w:pPr>
            <w:r w:rsidRPr="00E638DA">
              <w:rPr>
                <w:rFonts w:ascii="Times New Roman" w:hAnsi="Times New Roman" w:cs="Times New Roman"/>
                <w:b/>
              </w:rPr>
              <w:t>Instructor: David Reich</w:t>
            </w:r>
          </w:p>
          <w:p w:rsidR="00A83F4F" w:rsidRDefault="00E638DA" w:rsidP="00E638DA">
            <w:pPr>
              <w:tabs>
                <w:tab w:val="left" w:pos="0"/>
              </w:tabs>
              <w:rPr>
                <w:rFonts w:ascii="Helvetica" w:eastAsia="Times New Roman" w:hAnsi="Helvetica" w:cs="Helvetica"/>
                <w:b/>
                <w:bCs/>
              </w:rPr>
            </w:pPr>
            <w:r>
              <w:rPr>
                <w:b/>
              </w:rPr>
              <w:t>Phone: 847-214-7235</w:t>
            </w:r>
          </w:p>
          <w:p w:rsidR="00E638DA" w:rsidRDefault="00E638DA" w:rsidP="00A559E2">
            <w:pPr>
              <w:tabs>
                <w:tab w:val="left" w:pos="0"/>
              </w:tabs>
              <w:rPr>
                <w:rFonts w:ascii="Helvetica" w:eastAsia="Times New Roman" w:hAnsi="Helvetica" w:cs="Helvetica"/>
                <w:b/>
                <w:bCs/>
              </w:rPr>
            </w:pPr>
          </w:p>
          <w:p w:rsidR="00A83F4F" w:rsidRDefault="00A83F4F" w:rsidP="00A559E2">
            <w:pPr>
              <w:tabs>
                <w:tab w:val="left" w:pos="0"/>
              </w:tabs>
              <w:rPr>
                <w:rFonts w:ascii="Helvetica" w:eastAsia="Times New Roman" w:hAnsi="Helvetica" w:cs="Helvetica"/>
                <w:b/>
                <w:bCs/>
              </w:rPr>
            </w:pPr>
            <w:r w:rsidRPr="00A83F4F">
              <w:rPr>
                <w:rFonts w:ascii="Helvetica" w:eastAsia="Times New Roman" w:hAnsi="Helvetica" w:cs="Helvetica"/>
                <w:b/>
                <w:bCs/>
                <w:iCs/>
              </w:rPr>
              <w:t>Description:</w:t>
            </w:r>
            <w:r>
              <w:rPr>
                <w:rFonts w:ascii="Helvetica" w:eastAsia="Times New Roman" w:hAnsi="Helvetica" w:cs="Helvetica"/>
                <w:b/>
                <w:bCs/>
                <w:i/>
                <w:iCs/>
              </w:rPr>
              <w:t xml:space="preserve"> </w:t>
            </w:r>
            <w:r>
              <w:rPr>
                <w:rFonts w:ascii="Helvetica" w:eastAsia="Times New Roman" w:hAnsi="Helvetica" w:cs="Helvetica"/>
                <w:b/>
                <w:bCs/>
              </w:rPr>
              <w:br/>
              <w:t xml:space="preserve">Basic concepts of oxy-acetylene welding and electric welding for beginners. Includes arc welding and gas welding, brazing and cutting in the flat position. </w:t>
            </w:r>
          </w:p>
          <w:p w:rsidR="00A83F4F" w:rsidRDefault="00D849D2" w:rsidP="00A559E2">
            <w:pPr>
              <w:tabs>
                <w:tab w:val="left" w:pos="0"/>
              </w:tabs>
              <w:rPr>
                <w:rFonts w:ascii="Helvetica" w:eastAsia="Times New Roman" w:hAnsi="Helvetica" w:cs="Helvetica"/>
                <w:b/>
                <w:bCs/>
              </w:rPr>
            </w:pPr>
            <w:r>
              <w:rPr>
                <w:rFonts w:ascii="Helvetica" w:eastAsia="Times New Roman" w:hAnsi="Helvetica" w:cs="Helvetica"/>
                <w:b/>
                <w:bCs/>
              </w:rPr>
              <w:t>2 Credit Hours</w:t>
            </w:r>
          </w:p>
          <w:p w:rsidR="00D849D2" w:rsidRDefault="00A559E2" w:rsidP="00A559E2">
            <w:pPr>
              <w:tabs>
                <w:tab w:val="left" w:pos="0"/>
              </w:tabs>
              <w:rPr>
                <w:rFonts w:ascii="Helvetica" w:eastAsia="Times New Roman" w:hAnsi="Helvetica" w:cs="Helvetica"/>
                <w:b/>
                <w:bCs/>
              </w:rPr>
            </w:pPr>
            <w:r>
              <w:rPr>
                <w:rFonts w:ascii="Helvetica" w:eastAsia="Times New Roman" w:hAnsi="Helvetica" w:cs="Helvetica"/>
                <w:b/>
                <w:bCs/>
              </w:rPr>
              <w:t xml:space="preserve">           </w:t>
            </w:r>
          </w:p>
          <w:p w:rsidR="00A83F4F" w:rsidRDefault="00A83F4F" w:rsidP="00A559E2">
            <w:pPr>
              <w:tabs>
                <w:tab w:val="left" w:pos="0"/>
              </w:tabs>
              <w:rPr>
                <w:rFonts w:ascii="Helvetica" w:eastAsia="Times New Roman" w:hAnsi="Helvetica" w:cs="Helvetica"/>
                <w:b/>
                <w:bCs/>
              </w:rPr>
            </w:pPr>
            <w:bookmarkStart w:id="0" w:name="_GoBack"/>
            <w:bookmarkEnd w:id="0"/>
            <w:r>
              <w:rPr>
                <w:rFonts w:ascii="Helvetica" w:eastAsia="Times New Roman" w:hAnsi="Helvetica" w:cs="Helvetica"/>
                <w:b/>
                <w:bCs/>
              </w:rPr>
              <w:t xml:space="preserve">Books, Supplies, and Supplementary Materials </w:t>
            </w:r>
          </w:p>
          <w:p w:rsidR="00A83F4F" w:rsidRDefault="00A83F4F" w:rsidP="00A559E2">
            <w:pPr>
              <w:tabs>
                <w:tab w:val="left" w:pos="0"/>
              </w:tabs>
              <w:rPr>
                <w:rFonts w:ascii="Helvetica" w:eastAsia="Times New Roman" w:hAnsi="Helvetica" w:cs="Helvetica"/>
                <w:b/>
                <w:bCs/>
                <w:i/>
                <w:iCs/>
              </w:rPr>
            </w:pPr>
            <w:r>
              <w:rPr>
                <w:rFonts w:ascii="Helvetica" w:eastAsia="Times New Roman" w:hAnsi="Helvetica" w:cs="Helvetica"/>
                <w:b/>
                <w:bCs/>
                <w:i/>
                <w:iCs/>
              </w:rPr>
              <w:t xml:space="preserve">               Required </w:t>
            </w:r>
          </w:p>
          <w:p w:rsidR="00A83F4F" w:rsidRDefault="00A83F4F" w:rsidP="00A559E2">
            <w:pPr>
              <w:tabs>
                <w:tab w:val="left" w:pos="0"/>
              </w:tabs>
              <w:rPr>
                <w:rFonts w:ascii="Helvetica" w:eastAsia="Times New Roman" w:hAnsi="Helvetica" w:cs="Helvetica"/>
                <w:b/>
                <w:bCs/>
              </w:rPr>
            </w:pPr>
            <w:r w:rsidRPr="00A83F4F">
              <w:rPr>
                <w:rFonts w:ascii="Helvetica" w:eastAsia="Times New Roman" w:hAnsi="Helvetica" w:cs="Helvetica"/>
                <w:b/>
                <w:bCs/>
              </w:rPr>
              <w:t xml:space="preserve">Hobart. </w:t>
            </w:r>
            <w:r w:rsidRPr="00A83F4F">
              <w:rPr>
                <w:rFonts w:ascii="Helvetica" w:eastAsia="Times New Roman" w:hAnsi="Helvetica" w:cs="Helvetica"/>
                <w:b/>
                <w:bCs/>
                <w:u w:val="single"/>
              </w:rPr>
              <w:t>Shielded Metal Arc Welding SMAW-</w:t>
            </w:r>
            <w:proofErr w:type="gramStart"/>
            <w:r w:rsidRPr="00A83F4F">
              <w:rPr>
                <w:rFonts w:ascii="Helvetica" w:eastAsia="Times New Roman" w:hAnsi="Helvetica" w:cs="Helvetica"/>
                <w:b/>
                <w:bCs/>
                <w:u w:val="single"/>
              </w:rPr>
              <w:t xml:space="preserve">B </w:t>
            </w:r>
            <w:r w:rsidRPr="00A83F4F">
              <w:rPr>
                <w:rFonts w:ascii="Helvetica" w:eastAsia="Times New Roman" w:hAnsi="Helvetica" w:cs="Helvetica"/>
                <w:b/>
                <w:bCs/>
              </w:rPr>
              <w:t>.</w:t>
            </w:r>
            <w:proofErr w:type="gramEnd"/>
            <w:r w:rsidRPr="00A83F4F">
              <w:rPr>
                <w:rFonts w:ascii="Helvetica" w:eastAsia="Times New Roman" w:hAnsi="Helvetica" w:cs="Helvetica"/>
                <w:b/>
                <w:bCs/>
              </w:rPr>
              <w:t xml:space="preserve"> ISBN: 9970050451 </w:t>
            </w:r>
          </w:p>
          <w:p w:rsidR="00A83F4F" w:rsidRPr="00A83F4F" w:rsidRDefault="00A83F4F" w:rsidP="00A559E2">
            <w:pPr>
              <w:tabs>
                <w:tab w:val="left" w:pos="0"/>
              </w:tabs>
              <w:rPr>
                <w:rFonts w:ascii="Helvetica" w:eastAsia="Times New Roman" w:hAnsi="Helvetica" w:cs="Helvetica"/>
                <w:b/>
                <w:bCs/>
              </w:rPr>
            </w:pPr>
            <w:r w:rsidRPr="00A83F4F">
              <w:rPr>
                <w:rFonts w:ascii="Helvetica" w:eastAsia="Times New Roman" w:hAnsi="Helvetica" w:cs="Helvetica"/>
                <w:b/>
                <w:bCs/>
              </w:rPr>
              <w:t xml:space="preserve">Hobart. </w:t>
            </w:r>
            <w:r w:rsidRPr="00A83F4F">
              <w:rPr>
                <w:rFonts w:ascii="Helvetica" w:eastAsia="Times New Roman" w:hAnsi="Helvetica" w:cs="Helvetica"/>
                <w:b/>
                <w:bCs/>
                <w:u w:val="single"/>
              </w:rPr>
              <w:t xml:space="preserve">Oxyacetylene Welding &amp; </w:t>
            </w:r>
            <w:proofErr w:type="gramStart"/>
            <w:r w:rsidRPr="00A83F4F">
              <w:rPr>
                <w:rFonts w:ascii="Helvetica" w:eastAsia="Times New Roman" w:hAnsi="Helvetica" w:cs="Helvetica"/>
                <w:b/>
                <w:bCs/>
                <w:u w:val="single"/>
              </w:rPr>
              <w:t xml:space="preserve">Cutting </w:t>
            </w:r>
            <w:r w:rsidRPr="00A83F4F">
              <w:rPr>
                <w:rFonts w:ascii="Helvetica" w:eastAsia="Times New Roman" w:hAnsi="Helvetica" w:cs="Helvetica"/>
                <w:b/>
                <w:bCs/>
              </w:rPr>
              <w:t>.</w:t>
            </w:r>
            <w:proofErr w:type="gramEnd"/>
            <w:r w:rsidRPr="00A83F4F">
              <w:rPr>
                <w:rFonts w:ascii="Helvetica" w:eastAsia="Times New Roman" w:hAnsi="Helvetica" w:cs="Helvetica"/>
                <w:b/>
                <w:bCs/>
              </w:rPr>
              <w:t xml:space="preserve"> ISBN: 9970050508 </w:t>
            </w:r>
          </w:p>
          <w:p w:rsidR="00A559E2" w:rsidRDefault="00A83F4F" w:rsidP="00A559E2">
            <w:pPr>
              <w:rPr>
                <w:rFonts w:ascii="Helvetica" w:eastAsia="Times New Roman" w:hAnsi="Helvetica" w:cs="Helvetica"/>
                <w:b/>
                <w:bCs/>
                <w:i/>
                <w:iCs/>
              </w:rPr>
            </w:pPr>
            <w:r w:rsidRPr="00A83F4F">
              <w:rPr>
                <w:rFonts w:ascii="Helvetica" w:eastAsia="Times New Roman" w:hAnsi="Helvetica" w:cs="Helvetica"/>
                <w:b/>
                <w:bCs/>
                <w:i/>
                <w:iCs/>
              </w:rPr>
              <w:t xml:space="preserve">Supplementary materials </w:t>
            </w:r>
          </w:p>
          <w:p w:rsidR="00A83F4F" w:rsidRPr="00A83F4F" w:rsidRDefault="00A83F4F" w:rsidP="00A559E2">
            <w:pPr>
              <w:rPr>
                <w:rFonts w:ascii="Helvetica" w:eastAsia="Times New Roman" w:hAnsi="Helvetica" w:cs="Helvetica"/>
                <w:b/>
                <w:bCs/>
              </w:rPr>
            </w:pPr>
            <w:r w:rsidRPr="00A83F4F">
              <w:rPr>
                <w:rFonts w:ascii="Helvetica" w:eastAsia="Times New Roman" w:hAnsi="Helvetica" w:cs="Helvetica"/>
                <w:b/>
                <w:bCs/>
              </w:rPr>
              <w:t xml:space="preserve">Welding Safety: The Way the Pro's Do It," Lincoln </w:t>
            </w:r>
          </w:p>
          <w:p w:rsidR="00A83F4F" w:rsidRPr="00A83F4F" w:rsidRDefault="00A83F4F" w:rsidP="00A559E2">
            <w:pPr>
              <w:rPr>
                <w:rFonts w:ascii="Helvetica" w:eastAsia="Times New Roman" w:hAnsi="Helvetica" w:cs="Helvetica"/>
                <w:b/>
                <w:bCs/>
              </w:rPr>
            </w:pPr>
            <w:r w:rsidRPr="00A83F4F">
              <w:rPr>
                <w:rFonts w:ascii="Helvetica" w:eastAsia="Times New Roman" w:hAnsi="Helvetica" w:cs="Helvetica"/>
                <w:b/>
                <w:bCs/>
              </w:rPr>
              <w:t xml:space="preserve">"Oxyacetylene Welding, Cutting, &amp; Brazing," Hobart Brothers </w:t>
            </w:r>
          </w:p>
          <w:p w:rsidR="00A83F4F" w:rsidRPr="00A83F4F" w:rsidRDefault="00A83F4F" w:rsidP="00A559E2">
            <w:pPr>
              <w:rPr>
                <w:rFonts w:ascii="Helvetica" w:eastAsia="Times New Roman" w:hAnsi="Helvetica" w:cs="Helvetica"/>
                <w:b/>
                <w:bCs/>
              </w:rPr>
            </w:pPr>
            <w:proofErr w:type="spellStart"/>
            <w:r w:rsidRPr="00A83F4F">
              <w:rPr>
                <w:rFonts w:ascii="Helvetica" w:eastAsia="Times New Roman" w:hAnsi="Helvetica" w:cs="Helvetica"/>
                <w:b/>
                <w:bCs/>
              </w:rPr>
              <w:t>Oxyfuel</w:t>
            </w:r>
            <w:proofErr w:type="spellEnd"/>
            <w:r w:rsidRPr="00A83F4F">
              <w:rPr>
                <w:rFonts w:ascii="Helvetica" w:eastAsia="Times New Roman" w:hAnsi="Helvetica" w:cs="Helvetica"/>
                <w:b/>
                <w:bCs/>
              </w:rPr>
              <w:t xml:space="preserve"> Safety," Smith </w:t>
            </w:r>
          </w:p>
          <w:p w:rsidR="00A83F4F" w:rsidRPr="00A83F4F" w:rsidRDefault="00A83F4F" w:rsidP="00A559E2">
            <w:pPr>
              <w:rPr>
                <w:rFonts w:ascii="Helvetica" w:eastAsia="Times New Roman" w:hAnsi="Helvetica" w:cs="Helvetica"/>
                <w:b/>
                <w:bCs/>
              </w:rPr>
            </w:pPr>
            <w:r w:rsidRPr="00A83F4F">
              <w:rPr>
                <w:rFonts w:ascii="Helvetica" w:eastAsia="Times New Roman" w:hAnsi="Helvetica" w:cs="Helvetica"/>
                <w:b/>
                <w:bCs/>
              </w:rPr>
              <w:t xml:space="preserve">Oxyacetylene Welding Safety, </w:t>
            </w:r>
            <w:proofErr w:type="spellStart"/>
            <w:r w:rsidRPr="00A83F4F">
              <w:rPr>
                <w:rFonts w:ascii="Helvetica" w:eastAsia="Times New Roman" w:hAnsi="Helvetica" w:cs="Helvetica"/>
                <w:b/>
                <w:bCs/>
              </w:rPr>
              <w:t>LTee</w:t>
            </w:r>
            <w:proofErr w:type="spellEnd"/>
            <w:r w:rsidRPr="00A83F4F">
              <w:rPr>
                <w:rFonts w:ascii="Helvetica" w:eastAsia="Times New Roman" w:hAnsi="Helvetica" w:cs="Helvetica"/>
                <w:b/>
                <w:bCs/>
              </w:rPr>
              <w:t xml:space="preserve"> </w:t>
            </w:r>
          </w:p>
          <w:p w:rsidR="00A83F4F" w:rsidRPr="00A83F4F" w:rsidRDefault="00A83F4F" w:rsidP="00A559E2">
            <w:pPr>
              <w:rPr>
                <w:rFonts w:ascii="Helvetica" w:eastAsia="Times New Roman" w:hAnsi="Helvetica" w:cs="Helvetica"/>
                <w:b/>
                <w:bCs/>
              </w:rPr>
            </w:pPr>
            <w:r w:rsidRPr="00A83F4F">
              <w:rPr>
                <w:rFonts w:ascii="Helvetica" w:eastAsia="Times New Roman" w:hAnsi="Helvetica" w:cs="Helvetica"/>
                <w:b/>
                <w:bCs/>
              </w:rPr>
              <w:t xml:space="preserve">How to Weld with the </w:t>
            </w:r>
            <w:proofErr w:type="spellStart"/>
            <w:r w:rsidRPr="00A83F4F">
              <w:rPr>
                <w:rFonts w:ascii="Helvetica" w:eastAsia="Times New Roman" w:hAnsi="Helvetica" w:cs="Helvetica"/>
                <w:b/>
                <w:bCs/>
              </w:rPr>
              <w:t>Thunderbold</w:t>
            </w:r>
            <w:proofErr w:type="spellEnd"/>
            <w:r w:rsidRPr="00A83F4F">
              <w:rPr>
                <w:rFonts w:ascii="Helvetica" w:eastAsia="Times New Roman" w:hAnsi="Helvetica" w:cs="Helvetica"/>
                <w:b/>
                <w:bCs/>
              </w:rPr>
              <w:t xml:space="preserve"> AC/DC, Miller Electric </w:t>
            </w:r>
          </w:p>
          <w:p w:rsidR="00A83F4F" w:rsidRPr="00A83F4F" w:rsidRDefault="00A83F4F" w:rsidP="00A559E2">
            <w:pPr>
              <w:rPr>
                <w:rFonts w:ascii="Helvetica" w:eastAsia="Times New Roman" w:hAnsi="Helvetica" w:cs="Helvetica"/>
                <w:b/>
                <w:bCs/>
              </w:rPr>
            </w:pPr>
            <w:r w:rsidRPr="00A83F4F">
              <w:rPr>
                <w:rFonts w:ascii="Helvetica" w:eastAsia="Times New Roman" w:hAnsi="Helvetica" w:cs="Helvetica"/>
                <w:b/>
                <w:bCs/>
              </w:rPr>
              <w:t xml:space="preserve">Shielded Metal Arc Welding/Basic," Hobart Brothers </w:t>
            </w:r>
          </w:p>
          <w:p w:rsidR="00A83F4F" w:rsidRDefault="00A83F4F" w:rsidP="00A559E2">
            <w:pPr>
              <w:rPr>
                <w:rFonts w:ascii="Helvetica" w:eastAsia="Times New Roman" w:hAnsi="Helvetica" w:cs="Helvetica"/>
                <w:b/>
                <w:bCs/>
              </w:rPr>
            </w:pPr>
          </w:p>
          <w:p w:rsidR="00A83F4F" w:rsidRDefault="00A83F4F" w:rsidP="00A559E2">
            <w:pPr>
              <w:numPr>
                <w:ilvl w:val="0"/>
                <w:numId w:val="2"/>
              </w:numPr>
              <w:rPr>
                <w:rStyle w:val="cnt"/>
              </w:rPr>
            </w:pPr>
            <w:r>
              <w:rPr>
                <w:rFonts w:ascii="Helvetica" w:eastAsia="Times New Roman" w:hAnsi="Helvetica" w:cs="Helvetica"/>
                <w:b/>
                <w:bCs/>
              </w:rPr>
              <w:t xml:space="preserve">Course Outline </w:t>
            </w:r>
          </w:p>
          <w:p w:rsidR="00A83F4F" w:rsidRDefault="00A83F4F" w:rsidP="00A559E2">
            <w:pPr>
              <w:pStyle w:val="NormalWeb"/>
              <w:spacing w:before="0" w:beforeAutospacing="0" w:after="0" w:afterAutospacing="0"/>
            </w:pPr>
            <w:r>
              <w:rPr>
                <w:rFonts w:ascii="Helvetica" w:hAnsi="Helvetica" w:cs="Helvetica"/>
                <w:b/>
                <w:bCs/>
              </w:rPr>
              <w:t>1.  Basics of Welding Safety</w:t>
            </w:r>
            <w:r>
              <w:rPr>
                <w:rFonts w:ascii="Helvetica" w:hAnsi="Helvetica" w:cs="Helvetica"/>
                <w:b/>
                <w:bCs/>
              </w:rPr>
              <w:br/>
              <w:t>2.  Basics of Shielded Metal Arc Welding</w:t>
            </w:r>
            <w:r>
              <w:rPr>
                <w:rFonts w:ascii="Helvetica" w:hAnsi="Helvetica" w:cs="Helvetica"/>
                <w:b/>
                <w:bCs/>
              </w:rPr>
              <w:br/>
              <w:t>3.  Basics of Oxyacetylene Welding</w:t>
            </w:r>
            <w:r>
              <w:rPr>
                <w:rFonts w:ascii="Helvetica" w:hAnsi="Helvetica" w:cs="Helvetica"/>
                <w:b/>
                <w:bCs/>
              </w:rPr>
              <w:br/>
              <w:t>4.  Establishing a Stable Arc</w:t>
            </w:r>
            <w:r>
              <w:rPr>
                <w:rFonts w:ascii="Helvetica" w:hAnsi="Helvetica" w:cs="Helvetica"/>
                <w:b/>
                <w:bCs/>
              </w:rPr>
              <w:br/>
              <w:t>5.  Determining Proper Amperage Setting &amp; Electrode Selections</w:t>
            </w:r>
            <w:r>
              <w:rPr>
                <w:rFonts w:ascii="Helvetica" w:hAnsi="Helvetica" w:cs="Helvetica"/>
                <w:b/>
                <w:bCs/>
              </w:rPr>
              <w:br/>
              <w:t>6.  Importance of Slag Removal/Weld Cleaning</w:t>
            </w:r>
            <w:r>
              <w:rPr>
                <w:rFonts w:ascii="Helvetica" w:hAnsi="Helvetica" w:cs="Helvetica"/>
                <w:b/>
                <w:bCs/>
              </w:rPr>
              <w:br/>
              <w:t>7.  Oxyacetylene Welding Equipment Identification and Operation</w:t>
            </w:r>
            <w:r>
              <w:rPr>
                <w:rFonts w:ascii="Helvetica" w:hAnsi="Helvetica" w:cs="Helvetica"/>
                <w:b/>
                <w:bCs/>
              </w:rPr>
              <w:br/>
              <w:t>8.  Recognition of Flame Types</w:t>
            </w:r>
            <w:r>
              <w:rPr>
                <w:rFonts w:ascii="Helvetica" w:hAnsi="Helvetica" w:cs="Helvetica"/>
                <w:b/>
                <w:bCs/>
              </w:rPr>
              <w:br/>
              <w:t>9.  Developing Eye-Hand Coordination to Allow Production of Quality Welds</w:t>
            </w:r>
          </w:p>
          <w:p w:rsidR="00A83F4F" w:rsidRDefault="00A83F4F" w:rsidP="00A559E2">
            <w:pPr>
              <w:rPr>
                <w:rFonts w:ascii="Helvetica" w:eastAsia="Times New Roman" w:hAnsi="Helvetica" w:cs="Helvetica"/>
                <w:b/>
                <w:bCs/>
              </w:rPr>
            </w:pPr>
          </w:p>
          <w:p w:rsidR="00A83F4F" w:rsidRDefault="00A83F4F" w:rsidP="00A559E2">
            <w:pPr>
              <w:numPr>
                <w:ilvl w:val="0"/>
                <w:numId w:val="2"/>
              </w:numPr>
              <w:rPr>
                <w:rFonts w:ascii="Helvetica" w:eastAsia="Times New Roman" w:hAnsi="Helvetica" w:cs="Helvetica"/>
                <w:b/>
                <w:bCs/>
              </w:rPr>
            </w:pPr>
            <w:r>
              <w:rPr>
                <w:rFonts w:ascii="Helvetica" w:eastAsia="Times New Roman" w:hAnsi="Helvetica" w:cs="Helvetica"/>
                <w:b/>
                <w:bCs/>
              </w:rPr>
              <w:t xml:space="preserve">Outcomes </w:t>
            </w:r>
          </w:p>
          <w:p w:rsidR="00A83F4F" w:rsidRDefault="00A83F4F" w:rsidP="00A559E2">
            <w:pPr>
              <w:numPr>
                <w:ilvl w:val="1"/>
                <w:numId w:val="3"/>
              </w:numPr>
              <w:ind w:hanging="360"/>
              <w:rPr>
                <w:rFonts w:ascii="Helvetica" w:eastAsia="Times New Roman" w:hAnsi="Helvetica" w:cs="Helvetica"/>
                <w:b/>
                <w:bCs/>
              </w:rPr>
            </w:pPr>
            <w:r>
              <w:rPr>
                <w:rFonts w:ascii="Helvetica" w:eastAsia="Times New Roman" w:hAnsi="Helvetica" w:cs="Helvetica"/>
                <w:b/>
                <w:bCs/>
                <w:i/>
                <w:iCs/>
              </w:rPr>
              <w:t xml:space="preserve">Course Content Outcomes </w:t>
            </w:r>
          </w:p>
          <w:p w:rsidR="00A83F4F" w:rsidRDefault="00A83F4F" w:rsidP="00A559E2">
            <w:pPr>
              <w:numPr>
                <w:ilvl w:val="2"/>
                <w:numId w:val="4"/>
              </w:numPr>
              <w:ind w:hanging="360"/>
              <w:rPr>
                <w:rFonts w:ascii="Helvetica" w:eastAsia="Times New Roman" w:hAnsi="Helvetica" w:cs="Helvetica"/>
                <w:b/>
                <w:bCs/>
              </w:rPr>
            </w:pPr>
            <w:r>
              <w:rPr>
                <w:rFonts w:ascii="Helvetica" w:eastAsia="Times New Roman" w:hAnsi="Helvetica" w:cs="Helvetica"/>
                <w:b/>
                <w:bCs/>
              </w:rPr>
              <w:t xml:space="preserve">The student will be able, on completion of the course, to produce high quality common arc welds in the flat and horizontal positions as evaluated by the instructor. </w:t>
            </w:r>
          </w:p>
          <w:p w:rsidR="00A83F4F" w:rsidRDefault="00A83F4F" w:rsidP="00A559E2">
            <w:pPr>
              <w:numPr>
                <w:ilvl w:val="2"/>
                <w:numId w:val="4"/>
              </w:numPr>
              <w:ind w:hanging="360"/>
              <w:rPr>
                <w:rFonts w:ascii="Helvetica" w:eastAsia="Times New Roman" w:hAnsi="Helvetica" w:cs="Helvetica"/>
                <w:b/>
                <w:bCs/>
              </w:rPr>
            </w:pPr>
            <w:r>
              <w:rPr>
                <w:rFonts w:ascii="Helvetica" w:eastAsia="Times New Roman" w:hAnsi="Helvetica" w:cs="Helvetica"/>
                <w:b/>
                <w:bCs/>
              </w:rPr>
              <w:t>The student will be able to produce high quality oxyacetylene welds, brazing, cuts, and pierces on course completion as observed by the instructor.</w:t>
            </w:r>
          </w:p>
          <w:p w:rsidR="00A83F4F" w:rsidRDefault="00A83F4F" w:rsidP="00A559E2">
            <w:pPr>
              <w:numPr>
                <w:ilvl w:val="2"/>
                <w:numId w:val="4"/>
              </w:numPr>
              <w:ind w:hanging="360"/>
              <w:rPr>
                <w:rFonts w:ascii="Helvetica" w:eastAsia="Times New Roman" w:hAnsi="Helvetica" w:cs="Helvetica"/>
                <w:b/>
                <w:bCs/>
              </w:rPr>
            </w:pPr>
            <w:r>
              <w:rPr>
                <w:rFonts w:ascii="Helvetica" w:eastAsia="Times New Roman" w:hAnsi="Helvetica" w:cs="Helvetica"/>
                <w:b/>
                <w:bCs/>
              </w:rPr>
              <w:t>On successful completion of the final exam, the student will display transference of learning by producing a good weld which has not been demonstrated.</w:t>
            </w:r>
          </w:p>
          <w:p w:rsidR="00A83F4F" w:rsidRDefault="00A83F4F" w:rsidP="00A559E2">
            <w:pPr>
              <w:rPr>
                <w:rFonts w:ascii="Helvetica" w:eastAsia="Times New Roman" w:hAnsi="Helvetica" w:cs="Helvetica"/>
                <w:b/>
                <w:bCs/>
              </w:rPr>
            </w:pPr>
          </w:p>
          <w:p w:rsidR="00A83F4F" w:rsidRDefault="00A83F4F" w:rsidP="00A559E2">
            <w:pPr>
              <w:numPr>
                <w:ilvl w:val="0"/>
                <w:numId w:val="4"/>
              </w:numPr>
              <w:rPr>
                <w:rFonts w:ascii="Helvetica" w:eastAsia="Times New Roman" w:hAnsi="Helvetica" w:cs="Helvetica"/>
                <w:b/>
                <w:bCs/>
              </w:rPr>
            </w:pPr>
            <w:r>
              <w:rPr>
                <w:rFonts w:ascii="Helvetica" w:eastAsia="Times New Roman" w:hAnsi="Helvetica" w:cs="Helvetica"/>
                <w:b/>
                <w:bCs/>
              </w:rPr>
              <w:t xml:space="preserve">Measures of Student Performance </w:t>
            </w:r>
          </w:p>
          <w:p w:rsidR="00A83F4F" w:rsidRDefault="00A83F4F" w:rsidP="00A559E2">
            <w:pPr>
              <w:numPr>
                <w:ilvl w:val="2"/>
                <w:numId w:val="6"/>
              </w:numPr>
              <w:ind w:left="0"/>
              <w:rPr>
                <w:rFonts w:ascii="Helvetica" w:eastAsia="Times New Roman" w:hAnsi="Helvetica" w:cs="Helvetica"/>
                <w:b/>
                <w:bCs/>
              </w:rPr>
            </w:pPr>
            <w:r w:rsidRPr="00A559E2">
              <w:rPr>
                <w:rFonts w:ascii="Helvetica" w:eastAsia="Times New Roman" w:hAnsi="Helvetica" w:cs="Helvetica"/>
                <w:b/>
                <w:bCs/>
              </w:rPr>
              <w:t xml:space="preserve">Mid-term exam - weight of 1 weld </w:t>
            </w:r>
            <w:r w:rsidRPr="00A559E2">
              <w:rPr>
                <w:rFonts w:ascii="Helvetica" w:eastAsia="Times New Roman" w:hAnsi="Helvetica" w:cs="Helvetica"/>
                <w:b/>
                <w:bCs/>
              </w:rPr>
              <w:br/>
              <w:t xml:space="preserve">14 required welds - weight of 14 welds </w:t>
            </w:r>
            <w:r w:rsidRPr="00A559E2">
              <w:rPr>
                <w:rFonts w:ascii="Helvetica" w:eastAsia="Times New Roman" w:hAnsi="Helvetica" w:cs="Helvetica"/>
                <w:b/>
                <w:bCs/>
              </w:rPr>
              <w:br/>
              <w:t xml:space="preserve">Final exam (1 weld - 2 weld grades) </w:t>
            </w:r>
            <w:proofErr w:type="gramStart"/>
            <w:r w:rsidRPr="00A559E2">
              <w:rPr>
                <w:rFonts w:ascii="Helvetica" w:eastAsia="Times New Roman" w:hAnsi="Helvetica" w:cs="Helvetica"/>
                <w:b/>
                <w:bCs/>
              </w:rPr>
              <w:t>Written</w:t>
            </w:r>
            <w:proofErr w:type="gramEnd"/>
            <w:r w:rsidRPr="00A559E2">
              <w:rPr>
                <w:rFonts w:ascii="Helvetica" w:eastAsia="Times New Roman" w:hAnsi="Helvetica" w:cs="Helvetica"/>
                <w:b/>
                <w:bCs/>
              </w:rPr>
              <w:t xml:space="preserve"> exam - 1 weld </w:t>
            </w:r>
            <w:r w:rsidRPr="00A559E2">
              <w:rPr>
                <w:rFonts w:ascii="Helvetica" w:eastAsia="Times New Roman" w:hAnsi="Helvetica" w:cs="Helvetica"/>
                <w:b/>
                <w:bCs/>
              </w:rPr>
              <w:br/>
              <w:t xml:space="preserve">Student may miss up to 5% of </w:t>
            </w:r>
            <w:proofErr w:type="spellStart"/>
            <w:r w:rsidRPr="00A559E2">
              <w:rPr>
                <w:rFonts w:ascii="Helvetica" w:eastAsia="Times New Roman" w:hAnsi="Helvetica" w:cs="Helvetica"/>
                <w:b/>
                <w:bCs/>
              </w:rPr>
              <w:t>classtime</w:t>
            </w:r>
            <w:proofErr w:type="spellEnd"/>
            <w:r w:rsidRPr="00A559E2">
              <w:rPr>
                <w:rFonts w:ascii="Helvetica" w:eastAsia="Times New Roman" w:hAnsi="Helvetica" w:cs="Helvetica"/>
                <w:b/>
                <w:bCs/>
              </w:rPr>
              <w:t xml:space="preserve"> - work made up results in no loss of grade. </w:t>
            </w:r>
          </w:p>
        </w:tc>
      </w:tr>
      <w:tr w:rsidR="00A83F4F" w:rsidTr="00A559E2">
        <w:trPr>
          <w:trHeight w:val="591"/>
        </w:trPr>
        <w:tc>
          <w:tcPr>
            <w:tcW w:w="9601" w:type="dxa"/>
            <w:tcBorders>
              <w:top w:val="nil"/>
              <w:left w:val="nil"/>
              <w:bottom w:val="nil"/>
              <w:right w:val="nil"/>
            </w:tcBorders>
            <w:vAlign w:val="center"/>
          </w:tcPr>
          <w:p w:rsidR="00A83F4F" w:rsidRPr="00A83F4F" w:rsidRDefault="00A83F4F" w:rsidP="00A559E2">
            <w:pPr>
              <w:tabs>
                <w:tab w:val="left" w:pos="0"/>
              </w:tabs>
              <w:rPr>
                <w:rFonts w:ascii="Helvetica" w:eastAsia="Times New Roman" w:hAnsi="Helvetica" w:cs="Helvetica"/>
                <w:b/>
                <w:bCs/>
              </w:rPr>
            </w:pPr>
          </w:p>
        </w:tc>
      </w:tr>
    </w:tbl>
    <w:p w:rsidR="00FF5B41" w:rsidRDefault="00FF5B41" w:rsidP="00FF5B41">
      <w:r>
        <w:t>This course meets the agreed upon terminal objectives for the Welding Program.</w:t>
      </w:r>
    </w:p>
    <w:p w:rsidR="00FF5B41" w:rsidRDefault="00FF5B41" w:rsidP="00FF5B41"/>
    <w:p w:rsidR="00FF5B41" w:rsidRPr="00276630" w:rsidRDefault="00FF5B41" w:rsidP="00FF5B41">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FF5B41" w:rsidRPr="00276630" w:rsidRDefault="00FF5B41" w:rsidP="00FF5B41">
      <w:pPr>
        <w:rPr>
          <w:b/>
          <w:sz w:val="20"/>
          <w:szCs w:val="20"/>
        </w:rPr>
      </w:pPr>
    </w:p>
    <w:p w:rsidR="00964C4D" w:rsidRDefault="00964C4D" w:rsidP="00A559E2"/>
    <w:sectPr w:rsidR="00964C4D" w:rsidSect="00A559E2">
      <w:pgSz w:w="12240" w:h="15840"/>
      <w:pgMar w:top="720" w:right="144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4D9"/>
    <w:multiLevelType w:val="multilevel"/>
    <w:tmpl w:val="BC327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10673"/>
    <w:multiLevelType w:val="hybridMultilevel"/>
    <w:tmpl w:val="1924E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C795C"/>
    <w:multiLevelType w:val="hybridMultilevel"/>
    <w:tmpl w:val="11F42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D4758"/>
    <w:multiLevelType w:val="hybridMultilevel"/>
    <w:tmpl w:val="749E5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low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0">
      <w:lvl w:ilvl="0">
        <w:numFmt w:val="upperRoman"/>
        <w:lvlText w:val="%1."/>
        <w:lvlJc w:val="righ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4F"/>
    <w:rsid w:val="0055155C"/>
    <w:rsid w:val="00964C4D"/>
    <w:rsid w:val="00A559E2"/>
    <w:rsid w:val="00A83F4F"/>
    <w:rsid w:val="00D849D2"/>
    <w:rsid w:val="00E638DA"/>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4F"/>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A83F4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3F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3F4F"/>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A83F4F"/>
    <w:rPr>
      <w:rFonts w:ascii="Times New Roman" w:eastAsiaTheme="minorEastAsia" w:hAnsi="Times New Roman" w:cs="Times New Roman"/>
      <w:b/>
      <w:bCs/>
      <w:sz w:val="24"/>
      <w:szCs w:val="24"/>
    </w:rPr>
  </w:style>
  <w:style w:type="character" w:customStyle="1" w:styleId="cnt">
    <w:name w:val="cnt"/>
    <w:basedOn w:val="DefaultParagraphFont"/>
    <w:rsid w:val="00A83F4F"/>
  </w:style>
  <w:style w:type="paragraph" w:styleId="NormalWeb">
    <w:name w:val="Normal (Web)"/>
    <w:basedOn w:val="Normal"/>
    <w:uiPriority w:val="99"/>
    <w:semiHidden/>
    <w:unhideWhenUsed/>
    <w:rsid w:val="00A83F4F"/>
    <w:pPr>
      <w:spacing w:before="100" w:beforeAutospacing="1" w:after="100" w:afterAutospacing="1"/>
    </w:pPr>
  </w:style>
  <w:style w:type="paragraph" w:styleId="ListParagraph">
    <w:name w:val="List Paragraph"/>
    <w:basedOn w:val="Normal"/>
    <w:uiPriority w:val="34"/>
    <w:qFormat/>
    <w:rsid w:val="00A83F4F"/>
    <w:pPr>
      <w:ind w:left="720"/>
      <w:contextualSpacing/>
    </w:pPr>
  </w:style>
  <w:style w:type="paragraph" w:styleId="BodyText">
    <w:name w:val="Body Text"/>
    <w:basedOn w:val="Normal"/>
    <w:link w:val="BodyTextChar"/>
    <w:uiPriority w:val="1"/>
    <w:semiHidden/>
    <w:unhideWhenUsed/>
    <w:qFormat/>
    <w:rsid w:val="00E638DA"/>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E638DA"/>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4F"/>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A83F4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83F4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3F4F"/>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A83F4F"/>
    <w:rPr>
      <w:rFonts w:ascii="Times New Roman" w:eastAsiaTheme="minorEastAsia" w:hAnsi="Times New Roman" w:cs="Times New Roman"/>
      <w:b/>
      <w:bCs/>
      <w:sz w:val="24"/>
      <w:szCs w:val="24"/>
    </w:rPr>
  </w:style>
  <w:style w:type="character" w:customStyle="1" w:styleId="cnt">
    <w:name w:val="cnt"/>
    <w:basedOn w:val="DefaultParagraphFont"/>
    <w:rsid w:val="00A83F4F"/>
  </w:style>
  <w:style w:type="paragraph" w:styleId="NormalWeb">
    <w:name w:val="Normal (Web)"/>
    <w:basedOn w:val="Normal"/>
    <w:uiPriority w:val="99"/>
    <w:semiHidden/>
    <w:unhideWhenUsed/>
    <w:rsid w:val="00A83F4F"/>
    <w:pPr>
      <w:spacing w:before="100" w:beforeAutospacing="1" w:after="100" w:afterAutospacing="1"/>
    </w:pPr>
  </w:style>
  <w:style w:type="paragraph" w:styleId="ListParagraph">
    <w:name w:val="List Paragraph"/>
    <w:basedOn w:val="Normal"/>
    <w:uiPriority w:val="34"/>
    <w:qFormat/>
    <w:rsid w:val="00A83F4F"/>
    <w:pPr>
      <w:ind w:left="720"/>
      <w:contextualSpacing/>
    </w:pPr>
  </w:style>
  <w:style w:type="paragraph" w:styleId="BodyText">
    <w:name w:val="Body Text"/>
    <w:basedOn w:val="Normal"/>
    <w:link w:val="BodyTextChar"/>
    <w:uiPriority w:val="1"/>
    <w:semiHidden/>
    <w:unhideWhenUsed/>
    <w:qFormat/>
    <w:rsid w:val="00E638DA"/>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E638DA"/>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2013-11-21T20:48:00Z</dcterms:created>
  <dcterms:modified xsi:type="dcterms:W3CDTF">2014-08-07T14:19:00Z</dcterms:modified>
</cp:coreProperties>
</file>